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4" w:rsidRPr="008E6C85" w:rsidRDefault="007C3EB4" w:rsidP="00E01A67">
      <w:pPr>
        <w:pStyle w:val="ListParagraph"/>
        <w:ind w:left="1068"/>
      </w:pPr>
    </w:p>
    <w:tbl>
      <w:tblPr>
        <w:tblW w:w="10773" w:type="dxa"/>
        <w:tblInd w:w="108" w:type="dxa"/>
        <w:tblLayout w:type="fixed"/>
        <w:tblLook w:val="01E0"/>
      </w:tblPr>
      <w:tblGrid>
        <w:gridCol w:w="2088"/>
        <w:gridCol w:w="5652"/>
        <w:gridCol w:w="3033"/>
      </w:tblGrid>
      <w:tr w:rsidR="007C3EB4" w:rsidRPr="000B2C4E" w:rsidTr="00C80F79">
        <w:trPr>
          <w:trHeight w:val="1992"/>
        </w:trPr>
        <w:tc>
          <w:tcPr>
            <w:tcW w:w="2088" w:type="dxa"/>
          </w:tcPr>
          <w:p w:rsidR="007C3EB4" w:rsidRPr="000B2C4E" w:rsidRDefault="007C3EB4" w:rsidP="00C80F79">
            <w:pPr>
              <w:rPr>
                <w:lang w:val="ro-RO"/>
              </w:rPr>
            </w:pPr>
            <w:r w:rsidRPr="002B515C">
              <w:rPr>
                <w:noProof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a albastra final 1" style="width:82.5pt;height:85.5pt;visibility:visible">
                  <v:imagedata r:id="rId5" o:title=""/>
                </v:shape>
              </w:pict>
            </w:r>
          </w:p>
        </w:tc>
        <w:tc>
          <w:tcPr>
            <w:tcW w:w="5652" w:type="dxa"/>
          </w:tcPr>
          <w:p w:rsidR="007C3EB4" w:rsidRPr="000F1032" w:rsidRDefault="007C3EB4" w:rsidP="000F1032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ro-RO"/>
              </w:rPr>
            </w:pPr>
            <w:r w:rsidRPr="000F1032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MINISTERUL EDUCAŢIEI </w:t>
            </w:r>
            <w:r w:rsidRPr="000F1032">
              <w:rPr>
                <w:rFonts w:ascii="Arial Narrow" w:hAnsi="Arial Narrow" w:cs="Arial"/>
                <w:b/>
                <w:bCs/>
                <w:sz w:val="20"/>
                <w:lang w:val="ro-RO"/>
              </w:rPr>
              <w:t>NAŢIONALE</w:t>
            </w:r>
          </w:p>
          <w:p w:rsidR="007C3EB4" w:rsidRPr="000F1032" w:rsidRDefault="007C3EB4" w:rsidP="000F1032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fr-FR"/>
              </w:rPr>
            </w:pPr>
            <w:r w:rsidRPr="000F1032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UNIVERSITATEA </w:t>
            </w:r>
            <w:r w:rsidRPr="000F1032">
              <w:rPr>
                <w:rFonts w:ascii="Arial Narrow" w:hAnsi="Arial Narrow" w:cs="Arial"/>
                <w:b/>
                <w:bCs/>
                <w:sz w:val="20"/>
                <w:lang w:val="it-IT"/>
              </w:rPr>
              <w:t>“VASILE ALECSANDRI”</w:t>
            </w:r>
            <w:r w:rsidRPr="000F1032">
              <w:rPr>
                <w:rFonts w:ascii="Arial Narrow" w:hAnsi="Arial Narrow" w:cs="Arial"/>
                <w:b/>
                <w:bCs/>
                <w:sz w:val="20"/>
                <w:lang w:val="ro-RO"/>
              </w:rPr>
              <w:t xml:space="preserve"> </w:t>
            </w:r>
            <w:r w:rsidRPr="000F1032">
              <w:rPr>
                <w:rFonts w:ascii="Arial Narrow" w:hAnsi="Arial Narrow" w:cs="Arial"/>
                <w:b/>
                <w:bCs/>
                <w:sz w:val="20"/>
                <w:lang w:val="fr-FR"/>
              </w:rPr>
              <w:t>din BACĂU</w:t>
            </w:r>
          </w:p>
          <w:p w:rsidR="007C3EB4" w:rsidRPr="000F1032" w:rsidRDefault="007C3EB4" w:rsidP="000F1032">
            <w:pPr>
              <w:pStyle w:val="Heading2"/>
              <w:jc w:val="center"/>
              <w:rPr>
                <w:color w:val="0000FF"/>
                <w:sz w:val="20"/>
                <w:szCs w:val="20"/>
              </w:rPr>
            </w:pPr>
            <w:r w:rsidRPr="000F1032">
              <w:rPr>
                <w:color w:val="0000FF"/>
                <w:sz w:val="20"/>
                <w:szCs w:val="20"/>
              </w:rPr>
              <w:t>FACULTATEA de INGINERIE</w:t>
            </w:r>
          </w:p>
          <w:p w:rsidR="007C3EB4" w:rsidRPr="000F1032" w:rsidRDefault="007C3EB4" w:rsidP="000F1032">
            <w:pPr>
              <w:pStyle w:val="Heading1"/>
              <w:rPr>
                <w:sz w:val="20"/>
                <w:szCs w:val="20"/>
                <w:lang w:val="en-US"/>
              </w:rPr>
            </w:pPr>
            <w:r w:rsidRPr="000F1032">
              <w:rPr>
                <w:sz w:val="20"/>
                <w:szCs w:val="20"/>
              </w:rPr>
              <w:t>Calea Mără</w:t>
            </w:r>
            <w:r w:rsidRPr="000F1032">
              <w:rPr>
                <w:rFonts w:ascii="Arial" w:hAnsi="Arial" w:cs="Arial"/>
                <w:sz w:val="20"/>
                <w:szCs w:val="20"/>
              </w:rPr>
              <w:t>şeşti,</w:t>
            </w:r>
            <w:r w:rsidRPr="000F1032">
              <w:rPr>
                <w:sz w:val="20"/>
                <w:szCs w:val="20"/>
              </w:rPr>
              <w:t xml:space="preserve"> Nr. 157, Bacău, 600115, Tel./Fax </w:t>
            </w:r>
            <w:r w:rsidRPr="000F1032">
              <w:rPr>
                <w:sz w:val="20"/>
                <w:szCs w:val="20"/>
                <w:lang w:val="en-US"/>
              </w:rPr>
              <w:t>+40 234 580170</w:t>
            </w:r>
          </w:p>
          <w:p w:rsidR="007C3EB4" w:rsidRPr="000F1032" w:rsidRDefault="007C3EB4" w:rsidP="000F1032">
            <w:pPr>
              <w:jc w:val="center"/>
              <w:rPr>
                <w:sz w:val="20"/>
                <w:lang w:val="ro-RO"/>
              </w:rPr>
            </w:pPr>
            <w:r w:rsidRPr="000F1032">
              <w:rPr>
                <w:rFonts w:ascii="Arial Narrow" w:hAnsi="Arial Narrow"/>
                <w:b/>
                <w:sz w:val="20"/>
              </w:rPr>
              <w:t>http://inginerie.ub.ro,   decaning@ub.ro</w:t>
            </w:r>
          </w:p>
        </w:tc>
        <w:tc>
          <w:tcPr>
            <w:tcW w:w="3033" w:type="dxa"/>
          </w:tcPr>
          <w:p w:rsidR="007C3EB4" w:rsidRPr="000F1032" w:rsidRDefault="007C3EB4" w:rsidP="000F1032">
            <w:pPr>
              <w:jc w:val="center"/>
              <w:rPr>
                <w:sz w:val="20"/>
                <w:lang w:val="ro-RO"/>
              </w:rPr>
            </w:pPr>
            <w:r w:rsidRPr="000F1032">
              <w:rPr>
                <w:noProof/>
                <w:sz w:val="20"/>
                <w:lang w:val="ro-RO"/>
              </w:rPr>
              <w:pict>
                <v:shape id="Picture 4" o:spid="_x0000_i1026" type="#_x0000_t75" style="width:117.75pt;height:39.75pt;visibility:visible">
                  <v:imagedata r:id="rId6" o:title=""/>
                </v:shape>
              </w:pict>
            </w:r>
            <w:r w:rsidRPr="000F1032">
              <w:rPr>
                <w:noProof/>
                <w:sz w:val="20"/>
                <w:lang w:val="ro-RO"/>
              </w:rPr>
              <w:pict>
                <v:shape id="Picture 3" o:spid="_x0000_i1027" type="#_x0000_t75" style="width:48pt;height:48pt;visibility:visible">
                  <v:imagedata r:id="rId7" o:title=""/>
                </v:shape>
              </w:pict>
            </w:r>
          </w:p>
        </w:tc>
      </w:tr>
    </w:tbl>
    <w:p w:rsidR="007C3EB4" w:rsidRPr="007E68A7" w:rsidRDefault="007C3EB4" w:rsidP="000F1032">
      <w:pPr>
        <w:jc w:val="both"/>
        <w:rPr>
          <w:lang w:val="ro-RO"/>
        </w:rPr>
      </w:pP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</w:p>
    <w:p w:rsidR="007C3EB4" w:rsidRPr="008E6C85" w:rsidRDefault="007C3EB4" w:rsidP="00E01A67">
      <w:pPr>
        <w:pStyle w:val="Header"/>
        <w:rPr>
          <w:rFonts w:ascii="Times New Roman" w:hAnsi="Times New Roman"/>
          <w:lang w:val="ro-RO"/>
        </w:rPr>
      </w:pPr>
    </w:p>
    <w:p w:rsidR="007C3EB4" w:rsidRPr="008E6C85" w:rsidRDefault="007C3EB4" w:rsidP="009506D2">
      <w:pPr>
        <w:pStyle w:val="ListParagraph"/>
        <w:ind w:left="0"/>
      </w:pPr>
    </w:p>
    <w:p w:rsidR="007C3EB4" w:rsidRPr="008E6C85" w:rsidRDefault="007C3EB4" w:rsidP="000F1032">
      <w:pPr>
        <w:ind w:left="36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E6C85">
        <w:rPr>
          <w:rFonts w:ascii="Times New Roman" w:hAnsi="Times New Roman"/>
          <w:b/>
          <w:bCs/>
          <w:sz w:val="28"/>
          <w:szCs w:val="28"/>
          <w:lang w:val="ro-RO"/>
        </w:rPr>
        <w:t xml:space="preserve">Tematică de concurs pentru ocuparea postului de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ş</w:t>
      </w:r>
      <w:r w:rsidRPr="008E6C85">
        <w:rPr>
          <w:rFonts w:ascii="Times New Roman" w:hAnsi="Times New Roman"/>
          <w:b/>
          <w:bCs/>
          <w:sz w:val="28"/>
          <w:szCs w:val="28"/>
          <w:lang w:val="ro-RO"/>
        </w:rPr>
        <w:t>ef lucrări, poziţia 13, din Statul de Funcţii şi de Personal Didactic al departamentului IMIM din anul universitar 2014-2015:</w:t>
      </w:r>
    </w:p>
    <w:p w:rsidR="007C3EB4" w:rsidRPr="008E6C85" w:rsidRDefault="007C3EB4" w:rsidP="00551358">
      <w:pPr>
        <w:jc w:val="both"/>
        <w:rPr>
          <w:rFonts w:ascii="Times New Roman" w:hAnsi="Times New Roman"/>
          <w:lang w:val="ro-RO"/>
        </w:rPr>
      </w:pPr>
    </w:p>
    <w:p w:rsidR="007C3EB4" w:rsidRPr="008E6C85" w:rsidRDefault="007C3EB4" w:rsidP="00511051">
      <w:pPr>
        <w:pStyle w:val="ListParagraph"/>
        <w:numPr>
          <w:ilvl w:val="3"/>
          <w:numId w:val="12"/>
        </w:numPr>
        <w:ind w:left="851"/>
        <w:jc w:val="both"/>
      </w:pPr>
      <w:r w:rsidRPr="008E6C85">
        <w:t>Calitatea aerului</w:t>
      </w:r>
      <w:r>
        <w:t>: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>Poluarea aerului</w:t>
      </w:r>
      <w:r>
        <w:t>;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>Reglementări privind calitatea aerului din mediile industriale</w:t>
      </w:r>
      <w:r>
        <w:t>;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>Surse de poluare specifice mediilor industriale</w:t>
      </w:r>
      <w:r>
        <w:t>;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>Efectele poluării aerului din mediile industriale asupra factorului uman</w:t>
      </w:r>
      <w:r>
        <w:t>;</w:t>
      </w:r>
      <w:r w:rsidRPr="008E6C85">
        <w:t xml:space="preserve"> 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>Colectarea datelor de mediu</w:t>
      </w:r>
      <w:r>
        <w:t>;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>Prelucrarea primară/avansată a datelor de mediu</w:t>
      </w:r>
      <w:r>
        <w:t>;</w:t>
      </w:r>
      <w:r w:rsidRPr="008E6C85">
        <w:t xml:space="preserve"> 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 xml:space="preserve">Metode de prevenire şi reducere a poluării </w:t>
      </w:r>
      <w:r>
        <w:t>aerului din mediile industriale;</w:t>
      </w:r>
    </w:p>
    <w:p w:rsidR="007C3EB4" w:rsidRPr="008E6C85" w:rsidRDefault="007C3EB4" w:rsidP="00511051">
      <w:pPr>
        <w:pStyle w:val="ListParagraph"/>
        <w:numPr>
          <w:ilvl w:val="0"/>
          <w:numId w:val="17"/>
        </w:numPr>
        <w:jc w:val="both"/>
      </w:pPr>
      <w:r w:rsidRPr="008E6C85">
        <w:t>Metode şi dispozitive de măsurare a indicatorilor de calitate a aerului</w:t>
      </w:r>
      <w:r>
        <w:t>.</w:t>
      </w:r>
    </w:p>
    <w:p w:rsidR="007C3EB4" w:rsidRPr="008E6C85" w:rsidRDefault="007C3EB4" w:rsidP="001D3009">
      <w:pPr>
        <w:jc w:val="both"/>
        <w:rPr>
          <w:rFonts w:ascii="Times New Roman" w:hAnsi="Times New Roman"/>
          <w:lang w:val="ro-RO"/>
        </w:rPr>
      </w:pPr>
    </w:p>
    <w:p w:rsidR="007C3EB4" w:rsidRPr="008E6C85" w:rsidRDefault="007C3EB4" w:rsidP="001D3009">
      <w:pPr>
        <w:pStyle w:val="ListParagraph"/>
        <w:numPr>
          <w:ilvl w:val="3"/>
          <w:numId w:val="12"/>
        </w:numPr>
        <w:ind w:left="851"/>
        <w:jc w:val="both"/>
      </w:pPr>
      <w:r w:rsidRPr="008E6C85">
        <w:t>Poluarea fonică</w:t>
      </w:r>
      <w:r>
        <w:t>: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r w:rsidRPr="008E6C85">
        <w:t>Caracterizarea zgomotului</w:t>
      </w:r>
      <w:r>
        <w:t>;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r w:rsidRPr="008E6C85">
        <w:t>Reducerea poluării fonice în mediile industriale</w:t>
      </w:r>
      <w:r>
        <w:t>;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hyperlink r:id="rId8" w:anchor="_Toc378598791" w:history="1">
        <w:r w:rsidRPr="008E6C85">
          <w:rPr>
            <w:rStyle w:val="Hyperlink"/>
            <w:color w:val="auto"/>
            <w:u w:val="none"/>
          </w:rPr>
          <w:t>Consideraţii generale asupra mediului industrial</w:t>
        </w:r>
      </w:hyperlink>
      <w:r>
        <w:rPr>
          <w:rStyle w:val="Hyperlink"/>
          <w:color w:val="auto"/>
          <w:u w:val="none"/>
        </w:rPr>
        <w:t>;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hyperlink r:id="rId9" w:anchor="_Toc378598792" w:history="1">
        <w:r w:rsidRPr="008E6C85">
          <w:rPr>
            <w:rStyle w:val="Hyperlink"/>
            <w:color w:val="auto"/>
            <w:u w:val="none"/>
          </w:rPr>
          <w:t>Zgomotele industriale, generate de funcţionarea utilajelor</w:t>
        </w:r>
      </w:hyperlink>
      <w:r>
        <w:rPr>
          <w:rStyle w:val="Hyperlink"/>
          <w:color w:val="auto"/>
          <w:u w:val="none"/>
        </w:rPr>
        <w:t>;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hyperlink r:id="rId10" w:anchor="_Toc378598799" w:history="1">
        <w:r w:rsidRPr="008E6C85">
          <w:rPr>
            <w:rStyle w:val="Hyperlink"/>
            <w:color w:val="auto"/>
            <w:u w:val="none"/>
          </w:rPr>
          <w:t>Metodele de combatere a zgomotului</w:t>
        </w:r>
      </w:hyperlink>
      <w:r>
        <w:rPr>
          <w:rStyle w:val="Hyperlink"/>
          <w:color w:val="auto"/>
          <w:u w:val="none"/>
        </w:rPr>
        <w:t>;</w:t>
      </w:r>
    </w:p>
    <w:p w:rsidR="007C3EB4" w:rsidRPr="008E6C85" w:rsidRDefault="007C3EB4" w:rsidP="00511051">
      <w:pPr>
        <w:pStyle w:val="ListParagraph"/>
        <w:numPr>
          <w:ilvl w:val="5"/>
          <w:numId w:val="12"/>
        </w:numPr>
        <w:ind w:left="1843"/>
        <w:jc w:val="both"/>
      </w:pPr>
      <w:hyperlink r:id="rId11" w:anchor="_Toc378598800" w:history="1">
        <w:r w:rsidRPr="008E6C85">
          <w:rPr>
            <w:rStyle w:val="Hyperlink"/>
            <w:color w:val="auto"/>
            <w:u w:val="none"/>
          </w:rPr>
          <w:t>Combaterea zgomotului la sursă</w:t>
        </w:r>
      </w:hyperlink>
      <w:r>
        <w:rPr>
          <w:rStyle w:val="Hyperlink"/>
          <w:color w:val="auto"/>
          <w:u w:val="none"/>
        </w:rPr>
        <w:t>;</w:t>
      </w:r>
    </w:p>
    <w:p w:rsidR="007C3EB4" w:rsidRPr="008E6C85" w:rsidRDefault="007C3EB4" w:rsidP="00511051">
      <w:pPr>
        <w:pStyle w:val="ListParagraph"/>
        <w:numPr>
          <w:ilvl w:val="5"/>
          <w:numId w:val="12"/>
        </w:numPr>
        <w:ind w:left="1843"/>
        <w:jc w:val="both"/>
      </w:pPr>
      <w:r w:rsidRPr="008E6C85">
        <w:t>Combaterea zgomotului pe căile de propagare</w:t>
      </w:r>
      <w:r>
        <w:t>;</w:t>
      </w:r>
    </w:p>
    <w:p w:rsidR="007C3EB4" w:rsidRPr="008E6C85" w:rsidRDefault="007C3EB4" w:rsidP="00511051">
      <w:pPr>
        <w:pStyle w:val="ListParagraph"/>
        <w:numPr>
          <w:ilvl w:val="5"/>
          <w:numId w:val="12"/>
        </w:numPr>
        <w:ind w:left="1843"/>
        <w:jc w:val="both"/>
      </w:pPr>
      <w:r w:rsidRPr="008E6C85">
        <w:t>Combaterea zgomotului la receptor</w:t>
      </w:r>
      <w:r>
        <w:t>;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r w:rsidRPr="008E6C85">
        <w:t>Procedee şi tehnici de tratare a zgomotului</w:t>
      </w:r>
      <w:r>
        <w:t>;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r w:rsidRPr="008E6C85">
        <w:t>Modalităţi de măsurare a zgomotului aerian</w:t>
      </w:r>
      <w:r>
        <w:t>;</w:t>
      </w:r>
    </w:p>
    <w:p w:rsidR="007C3EB4" w:rsidRPr="008E6C85" w:rsidRDefault="007C3EB4" w:rsidP="001D3009">
      <w:pPr>
        <w:pStyle w:val="ListParagraph"/>
        <w:numPr>
          <w:ilvl w:val="4"/>
          <w:numId w:val="12"/>
        </w:numPr>
        <w:ind w:left="1418"/>
        <w:jc w:val="both"/>
      </w:pPr>
      <w:r w:rsidRPr="008E6C85">
        <w:t>Reglementări legislative privind emisiile de zgomot din industrie</w:t>
      </w:r>
      <w:r>
        <w:t>;</w:t>
      </w:r>
      <w:r w:rsidRPr="008E6C85">
        <w:t xml:space="preserve"> </w:t>
      </w:r>
    </w:p>
    <w:p w:rsidR="007C3EB4" w:rsidRDefault="007C3EB4" w:rsidP="00551358">
      <w:pPr>
        <w:jc w:val="both"/>
        <w:rPr>
          <w:rFonts w:ascii="Times New Roman" w:hAnsi="Times New Roman"/>
          <w:szCs w:val="24"/>
          <w:lang w:val="ro-RO"/>
        </w:rPr>
      </w:pPr>
    </w:p>
    <w:p w:rsidR="007C3EB4" w:rsidRDefault="007C3EB4" w:rsidP="00551358">
      <w:pPr>
        <w:pStyle w:val="ListParagraph"/>
        <w:numPr>
          <w:ilvl w:val="3"/>
          <w:numId w:val="12"/>
        </w:numPr>
        <w:ind w:left="851"/>
        <w:jc w:val="both"/>
      </w:pPr>
      <w:r>
        <w:t>Metode moderne de monitorizare a zgomotului:</w:t>
      </w:r>
      <w:r w:rsidRPr="00551358">
        <w:t xml:space="preserve"> </w:t>
      </w:r>
    </w:p>
    <w:p w:rsidR="007C3EB4" w:rsidRDefault="007C3EB4" w:rsidP="00551358">
      <w:pPr>
        <w:pStyle w:val="ListParagraph"/>
        <w:numPr>
          <w:ilvl w:val="4"/>
          <w:numId w:val="12"/>
        </w:numPr>
        <w:ind w:left="1418"/>
        <w:jc w:val="both"/>
      </w:pPr>
      <w:r>
        <w:t>Metode de măsurare a nivelului de zgomot;</w:t>
      </w:r>
    </w:p>
    <w:p w:rsidR="007C3EB4" w:rsidRDefault="007C3EB4" w:rsidP="00551358">
      <w:pPr>
        <w:pStyle w:val="ListParagraph"/>
        <w:numPr>
          <w:ilvl w:val="4"/>
          <w:numId w:val="12"/>
        </w:numPr>
        <w:ind w:left="1418"/>
        <w:jc w:val="both"/>
      </w:pPr>
      <w:r>
        <w:t>Metode de cartare</w:t>
      </w:r>
      <w:r w:rsidRPr="008E6C85">
        <w:t xml:space="preserve"> acustică</w:t>
      </w:r>
      <w:r>
        <w:t>.</w:t>
      </w:r>
    </w:p>
    <w:p w:rsidR="007C3EB4" w:rsidRDefault="007C3EB4" w:rsidP="00551358">
      <w:pPr>
        <w:pStyle w:val="ListParagraph"/>
        <w:ind w:left="851"/>
      </w:pPr>
    </w:p>
    <w:p w:rsidR="007C3EB4" w:rsidRPr="00D84BD9" w:rsidRDefault="007C3EB4" w:rsidP="00D84BD9">
      <w:pPr>
        <w:pStyle w:val="ListParagraph"/>
        <w:ind w:left="851"/>
      </w:pPr>
    </w:p>
    <w:p w:rsidR="007C3EB4" w:rsidRPr="00D84BD9" w:rsidRDefault="007C3EB4" w:rsidP="00A62933">
      <w:pPr>
        <w:ind w:firstLine="360"/>
        <w:jc w:val="both"/>
        <w:rPr>
          <w:rFonts w:ascii="Times New Roman" w:hAnsi="Times New Roman"/>
          <w:b/>
          <w:lang w:val="ro-RO"/>
        </w:rPr>
      </w:pPr>
      <w:r w:rsidRPr="00D84BD9">
        <w:rPr>
          <w:rFonts w:ascii="Times New Roman" w:hAnsi="Times New Roman"/>
          <w:b/>
          <w:lang w:val="ro-RO"/>
        </w:rPr>
        <w:t>Bibliografie selectivă: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 xml:space="preserve">Barron Randall F. – </w:t>
      </w:r>
      <w:r w:rsidRPr="008E6C85">
        <w:rPr>
          <w:bCs/>
          <w:lang w:val="ro-RO"/>
        </w:rPr>
        <w:t>Industrial Noise Control and Acoustics</w:t>
      </w:r>
      <w:r w:rsidRPr="008E6C85">
        <w:rPr>
          <w:lang w:val="ro-RO"/>
        </w:rPr>
        <w:t>, Edited by Marcel Dekker, New York, 2003;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 xml:space="preserve">Bies A. David, Hansen H. Colin – Engineering noise control, Theory and practice, Four Edition, Spon Press of Taylor &amp; Francis Group, New York, 2009; 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>Darabont Alexandru, Iorga Ionel, Ciodaru Michaela – Măsurarea zgomotului şi vibraţiilor în tehnică, Editura Tehnică, Bucureşti, 1983;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 xml:space="preserve">Gafiţanu Mihai, Merticaru Vasile, Focşa Virgil, Biborosch Leopold </w:t>
      </w:r>
      <w:r w:rsidRPr="008E6C85">
        <w:rPr>
          <w:i/>
          <w:lang w:val="ro-RO"/>
        </w:rPr>
        <w:t>–</w:t>
      </w:r>
      <w:r w:rsidRPr="008E6C85">
        <w:rPr>
          <w:lang w:val="ro-RO"/>
        </w:rPr>
        <w:t xml:space="preserve"> Vibraţii şi zgomote, Editura Junimea, Iaşi, 1980;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>Iordache Vlad – Protecţie la zgomot. Acustica clădirilor şi a instalaţiilor, Editura MatrixRom, Bucureşti, 2007;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 xml:space="preserve">Iudin E.Ia. </w:t>
      </w:r>
      <w:r w:rsidRPr="008E6C85">
        <w:rPr>
          <w:i/>
          <w:lang w:val="ro-RO"/>
        </w:rPr>
        <w:t>–</w:t>
      </w:r>
      <w:r w:rsidRPr="008E6C85">
        <w:rPr>
          <w:lang w:val="ro-RO"/>
        </w:rPr>
        <w:t xml:space="preserve"> Izolarea împotriva zgomotelor, Traducere din limba rusă, Editura Tehnică, Bucureşti, 1968; 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>Măcărescu Bogdan Constantin, Nedeff Valentin, Geamăn Virgil – Ingineria şi protecţia mediului în industrie, Editura Tehnica-Info, Chişinău, 2003;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>Măcărescu Bogdan Constantin, Nedeff Valentin, Mirela Panainte, Emilian Moşneguţu – Legislaţie, reglementări şi standarde de protecţia mediului, vol. I şi II, Editura Performantica, ISBN 973-730-212-5, ISBN 973-730-213-3, Iaşi, 2006;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 xml:space="preserve">Văiteanu D., Darabonţ A., Munteanu M., Costescu M. </w:t>
      </w:r>
      <w:r w:rsidRPr="008E6C85">
        <w:rPr>
          <w:i/>
          <w:lang w:val="ro-RO"/>
        </w:rPr>
        <w:t>–</w:t>
      </w:r>
      <w:r w:rsidRPr="008E6C85">
        <w:rPr>
          <w:lang w:val="ro-RO"/>
        </w:rPr>
        <w:t xml:space="preserve"> Circulaţia şi poluarea sonoră a mediului ambiant, Editura Tehnică, Bucureşti, 1983; 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 xml:space="preserve">*** </w:t>
      </w:r>
      <w:r w:rsidRPr="008E6C85">
        <w:rPr>
          <w:i/>
          <w:lang w:val="ro-RO"/>
        </w:rPr>
        <w:t>–</w:t>
      </w:r>
      <w:r w:rsidRPr="008E6C85">
        <w:rPr>
          <w:lang w:val="ro-RO"/>
        </w:rPr>
        <w:t xml:space="preserve"> Normativ privind protecţia la zgomot, Prevederi generale, </w:t>
      </w:r>
      <w:r w:rsidRPr="008E6C85">
        <w:rPr>
          <w:bCs/>
          <w:lang w:val="ro-RO"/>
        </w:rPr>
        <w:t>Ministerul Transporturilor,</w:t>
      </w:r>
      <w:r w:rsidRPr="008E6C85">
        <w:rPr>
          <w:lang w:val="ro-RO"/>
        </w:rPr>
        <w:t xml:space="preserve"> </w:t>
      </w:r>
      <w:r w:rsidRPr="008E6C85">
        <w:rPr>
          <w:bCs/>
          <w:lang w:val="ro-RO"/>
        </w:rPr>
        <w:t xml:space="preserve">Construcţiilor şi Turismului, </w:t>
      </w:r>
      <w:r w:rsidRPr="008E6C85">
        <w:rPr>
          <w:lang w:val="ro-RO"/>
        </w:rPr>
        <w:t>Direcţia Generală Tehnică în Construcţii;</w:t>
      </w:r>
    </w:p>
    <w:p w:rsidR="007C3EB4" w:rsidRPr="008E6C85" w:rsidRDefault="007C3EB4" w:rsidP="00A62933">
      <w:pPr>
        <w:tabs>
          <w:tab w:val="left" w:pos="426"/>
        </w:tabs>
        <w:jc w:val="both"/>
        <w:rPr>
          <w:lang w:val="ro-RO"/>
        </w:rPr>
      </w:pPr>
      <w:r w:rsidRPr="008E6C85">
        <w:rPr>
          <w:lang w:val="ro-RO"/>
        </w:rPr>
        <w:tab/>
        <w:t xml:space="preserve">*** </w:t>
      </w:r>
      <w:r w:rsidRPr="008E6C85">
        <w:rPr>
          <w:i/>
          <w:lang w:val="ro-RO"/>
        </w:rPr>
        <w:t>–</w:t>
      </w:r>
      <w:r w:rsidRPr="008E6C85">
        <w:rPr>
          <w:lang w:val="ro-RO"/>
        </w:rPr>
        <w:t xml:space="preserve"> HG 674/2007, pentru modificarea şi completarea HG 321/2005 privind evaluarea şi gestionarea zgomotului ambiental;</w:t>
      </w:r>
    </w:p>
    <w:p w:rsidR="007C3EB4" w:rsidRPr="008E6C85" w:rsidRDefault="007C3EB4" w:rsidP="00EC15C3">
      <w:pPr>
        <w:ind w:firstLine="360"/>
        <w:jc w:val="both"/>
        <w:rPr>
          <w:rFonts w:ascii="Times New Roman" w:hAnsi="Times New Roman"/>
          <w:lang w:val="ro-RO"/>
        </w:rPr>
      </w:pPr>
    </w:p>
    <w:p w:rsidR="007C3EB4" w:rsidRPr="008E6C85" w:rsidRDefault="007C3EB4" w:rsidP="00EC15C3">
      <w:pPr>
        <w:jc w:val="both"/>
        <w:rPr>
          <w:rFonts w:ascii="Times New Roman" w:hAnsi="Times New Roman"/>
          <w:lang w:val="ro-RO"/>
        </w:rPr>
      </w:pPr>
    </w:p>
    <w:p w:rsidR="007C3EB4" w:rsidRPr="008E6C85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</w:p>
    <w:p w:rsidR="007C3EB4" w:rsidRPr="008E6C85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  <w:r w:rsidRPr="008E6C85">
        <w:rPr>
          <w:rFonts w:ascii="Times New Roman" w:hAnsi="Times New Roman"/>
          <w:szCs w:val="24"/>
          <w:lang w:val="ro-RO"/>
        </w:rPr>
        <w:t>Director Departament IMIM</w:t>
      </w:r>
    </w:p>
    <w:p w:rsidR="007C3EB4" w:rsidRPr="008E6C85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  <w:r w:rsidRPr="008E6C85">
        <w:rPr>
          <w:rFonts w:ascii="Times New Roman" w:hAnsi="Times New Roman"/>
          <w:szCs w:val="24"/>
          <w:lang w:val="ro-RO"/>
        </w:rPr>
        <w:t>Prof. univ. dr. ing. Lumini</w:t>
      </w:r>
      <w:r>
        <w:rPr>
          <w:rFonts w:ascii="Times New Roman" w:hAnsi="Times New Roman"/>
          <w:szCs w:val="24"/>
          <w:lang w:val="ro-RO"/>
        </w:rPr>
        <w:t>ţ</w:t>
      </w:r>
      <w:r w:rsidRPr="008E6C85">
        <w:rPr>
          <w:rFonts w:ascii="Times New Roman" w:hAnsi="Times New Roman"/>
          <w:szCs w:val="24"/>
          <w:lang w:val="ro-RO"/>
        </w:rPr>
        <w:t>a Bibire</w:t>
      </w:r>
    </w:p>
    <w:p w:rsidR="007C3EB4" w:rsidRPr="008E6C85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</w:p>
    <w:p w:rsidR="007C3EB4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</w:p>
    <w:p w:rsidR="007C3EB4" w:rsidRPr="008E6C85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  <w:bookmarkStart w:id="0" w:name="_GoBack"/>
      <w:bookmarkEnd w:id="0"/>
    </w:p>
    <w:p w:rsidR="007C3EB4" w:rsidRPr="008E6C85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  <w:r w:rsidRPr="008E6C85">
        <w:rPr>
          <w:rFonts w:ascii="Times New Roman" w:hAnsi="Times New Roman"/>
          <w:szCs w:val="24"/>
          <w:lang w:val="ro-RO"/>
        </w:rPr>
        <w:t>Decan</w:t>
      </w:r>
    </w:p>
    <w:p w:rsidR="007C3EB4" w:rsidRPr="008E6C85" w:rsidRDefault="007C3EB4" w:rsidP="00DC3F67">
      <w:pPr>
        <w:ind w:left="720"/>
        <w:jc w:val="both"/>
        <w:rPr>
          <w:rFonts w:ascii="Times New Roman" w:hAnsi="Times New Roman"/>
          <w:szCs w:val="24"/>
          <w:lang w:val="ro-RO"/>
        </w:rPr>
      </w:pPr>
      <w:r w:rsidRPr="008E6C85">
        <w:rPr>
          <w:rFonts w:ascii="Times New Roman" w:hAnsi="Times New Roman"/>
          <w:szCs w:val="24"/>
          <w:lang w:val="ro-RO"/>
        </w:rPr>
        <w:t>Prof. univ. dr. ing. Carol Schnakovszky</w:t>
      </w:r>
    </w:p>
    <w:sectPr w:rsidR="007C3EB4" w:rsidRPr="008E6C85" w:rsidSect="008C5417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35AFC"/>
    <w:multiLevelType w:val="hybridMultilevel"/>
    <w:tmpl w:val="2328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3C6"/>
    <w:multiLevelType w:val="hybridMultilevel"/>
    <w:tmpl w:val="2CB43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4716F"/>
    <w:multiLevelType w:val="hybridMultilevel"/>
    <w:tmpl w:val="F25E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B57DF"/>
    <w:multiLevelType w:val="hybridMultilevel"/>
    <w:tmpl w:val="6ABADA72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3B60C9"/>
    <w:multiLevelType w:val="hybridMultilevel"/>
    <w:tmpl w:val="EEA002BE"/>
    <w:lvl w:ilvl="0" w:tplc="9BB29A60">
      <w:start w:val="1"/>
      <w:numFmt w:val="lowerLetter"/>
      <w:lvlText w:val="%1."/>
      <w:lvlJc w:val="left"/>
      <w:pPr>
        <w:ind w:left="1429" w:hanging="360"/>
      </w:pPr>
      <w:rPr>
        <w:rFonts w:ascii="Times-Roman-R" w:eastAsia="Times New Roman" w:hAnsi="Times-Roman-R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5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7"/>
    <w:rsid w:val="000121FE"/>
    <w:rsid w:val="00013120"/>
    <w:rsid w:val="00025B30"/>
    <w:rsid w:val="00051FDE"/>
    <w:rsid w:val="000577AF"/>
    <w:rsid w:val="00070DF1"/>
    <w:rsid w:val="000A4FA9"/>
    <w:rsid w:val="000B2C4E"/>
    <w:rsid w:val="000D5E57"/>
    <w:rsid w:val="000F1032"/>
    <w:rsid w:val="000F1D52"/>
    <w:rsid w:val="00102637"/>
    <w:rsid w:val="001241EF"/>
    <w:rsid w:val="00124C6A"/>
    <w:rsid w:val="00156FDB"/>
    <w:rsid w:val="001D3009"/>
    <w:rsid w:val="001F01D2"/>
    <w:rsid w:val="00261481"/>
    <w:rsid w:val="002A2117"/>
    <w:rsid w:val="002B515C"/>
    <w:rsid w:val="002C4895"/>
    <w:rsid w:val="003041BC"/>
    <w:rsid w:val="00312840"/>
    <w:rsid w:val="00353A76"/>
    <w:rsid w:val="00387960"/>
    <w:rsid w:val="003D1F84"/>
    <w:rsid w:val="003E73E8"/>
    <w:rsid w:val="003F3C05"/>
    <w:rsid w:val="00411C29"/>
    <w:rsid w:val="00422DB8"/>
    <w:rsid w:val="00471837"/>
    <w:rsid w:val="00477EC2"/>
    <w:rsid w:val="004965EC"/>
    <w:rsid w:val="004B2905"/>
    <w:rsid w:val="004B6F68"/>
    <w:rsid w:val="004E04D6"/>
    <w:rsid w:val="004E0F30"/>
    <w:rsid w:val="005077BD"/>
    <w:rsid w:val="00511051"/>
    <w:rsid w:val="00520E36"/>
    <w:rsid w:val="00551358"/>
    <w:rsid w:val="005616FF"/>
    <w:rsid w:val="0060196E"/>
    <w:rsid w:val="00614879"/>
    <w:rsid w:val="006165DD"/>
    <w:rsid w:val="0063432E"/>
    <w:rsid w:val="00647C30"/>
    <w:rsid w:val="006611B4"/>
    <w:rsid w:val="0067047B"/>
    <w:rsid w:val="0067403C"/>
    <w:rsid w:val="006874A2"/>
    <w:rsid w:val="006C4B20"/>
    <w:rsid w:val="00721DD5"/>
    <w:rsid w:val="0073244C"/>
    <w:rsid w:val="00736EBF"/>
    <w:rsid w:val="00760DDE"/>
    <w:rsid w:val="00762F0D"/>
    <w:rsid w:val="007C0551"/>
    <w:rsid w:val="007C3EB4"/>
    <w:rsid w:val="007E68A7"/>
    <w:rsid w:val="0080194D"/>
    <w:rsid w:val="00836AAA"/>
    <w:rsid w:val="00841FAA"/>
    <w:rsid w:val="00896B28"/>
    <w:rsid w:val="008976CF"/>
    <w:rsid w:val="008C5417"/>
    <w:rsid w:val="008D1434"/>
    <w:rsid w:val="008E6C85"/>
    <w:rsid w:val="008F5EC1"/>
    <w:rsid w:val="00937292"/>
    <w:rsid w:val="009506D2"/>
    <w:rsid w:val="009634A5"/>
    <w:rsid w:val="00964F8C"/>
    <w:rsid w:val="00995894"/>
    <w:rsid w:val="009D7DAD"/>
    <w:rsid w:val="009E590D"/>
    <w:rsid w:val="00A02593"/>
    <w:rsid w:val="00A204D6"/>
    <w:rsid w:val="00A62933"/>
    <w:rsid w:val="00A929B7"/>
    <w:rsid w:val="00AC150E"/>
    <w:rsid w:val="00B10E0E"/>
    <w:rsid w:val="00B81338"/>
    <w:rsid w:val="00B84302"/>
    <w:rsid w:val="00B9767E"/>
    <w:rsid w:val="00BB0CE1"/>
    <w:rsid w:val="00BD10A8"/>
    <w:rsid w:val="00BD729A"/>
    <w:rsid w:val="00C740E3"/>
    <w:rsid w:val="00C80F79"/>
    <w:rsid w:val="00CA3E54"/>
    <w:rsid w:val="00CB2AA5"/>
    <w:rsid w:val="00CB5091"/>
    <w:rsid w:val="00CE785A"/>
    <w:rsid w:val="00CE7B31"/>
    <w:rsid w:val="00CF40DD"/>
    <w:rsid w:val="00D35431"/>
    <w:rsid w:val="00D84BD9"/>
    <w:rsid w:val="00DC3F67"/>
    <w:rsid w:val="00DD7939"/>
    <w:rsid w:val="00E01A67"/>
    <w:rsid w:val="00E2076E"/>
    <w:rsid w:val="00E26904"/>
    <w:rsid w:val="00E461B8"/>
    <w:rsid w:val="00E81B2B"/>
    <w:rsid w:val="00E90228"/>
    <w:rsid w:val="00E923EB"/>
    <w:rsid w:val="00EB2F92"/>
    <w:rsid w:val="00EB3EC4"/>
    <w:rsid w:val="00EB4B95"/>
    <w:rsid w:val="00EC15C3"/>
    <w:rsid w:val="00ED33CC"/>
    <w:rsid w:val="00F3589C"/>
    <w:rsid w:val="00F560F6"/>
    <w:rsid w:val="00F60A70"/>
    <w:rsid w:val="00F96D5A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92"/>
    <w:rPr>
      <w:rFonts w:ascii="Times-Roman-R" w:eastAsia="Times New Roman" w:hAnsi="Times-Roman-R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1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6D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4E8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06D2"/>
    <w:rPr>
      <w:rFonts w:ascii="Calibri" w:hAnsi="Calibri" w:cs="Times New Roman"/>
      <w:sz w:val="24"/>
      <w:szCs w:val="24"/>
      <w:lang w:val="en-AU"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basedOn w:val="DefaultParagraphFont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basedOn w:val="DefaultParagraphFont"/>
    <w:uiPriority w:val="99"/>
    <w:rsid w:val="00EB2F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204D6"/>
    <w:rPr>
      <w:rFonts w:cs="Times New Roman"/>
      <w:b/>
    </w:rPr>
  </w:style>
  <w:style w:type="paragraph" w:styleId="TOC2">
    <w:name w:val="toc 2"/>
    <w:basedOn w:val="Normal"/>
    <w:next w:val="Normal"/>
    <w:autoRedefine/>
    <w:uiPriority w:val="99"/>
    <w:locked/>
    <w:rsid w:val="00CF40D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locked/>
    <w:rsid w:val="00CF40DD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arte_zgomot_din%20teza\pt%20tiparit\Carte_zgomot_Tomozei_Claudia%20pt%20tipari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D:\Carte_zgomot_din%20teza\pt%20tiparit\Carte_zgomot_Tomozei_Claudia%20pt%20tiparit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Carte_zgomot_din%20teza\pt%20tiparit\Carte_zgomot_Tomozei_Claudia%20pt%20tipari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arte_zgomot_din%20teza\pt%20tiparit\Carte_zgomot_Tomozei_Claudia%20pt%20tipari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542</Words>
  <Characters>3149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Buzoianu</cp:lastModifiedBy>
  <cp:revision>12</cp:revision>
  <cp:lastPrinted>2014-01-09T08:59:00Z</cp:lastPrinted>
  <dcterms:created xsi:type="dcterms:W3CDTF">2014-12-08T07:01:00Z</dcterms:created>
  <dcterms:modified xsi:type="dcterms:W3CDTF">2014-12-11T07:16:00Z</dcterms:modified>
</cp:coreProperties>
</file>